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4C3F5C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25.03.</w:t>
      </w:r>
      <w:r w:rsidR="00D96BE7">
        <w:rPr>
          <w:rFonts w:cs="Arial"/>
          <w:sz w:val="24"/>
          <w:szCs w:val="24"/>
        </w:rPr>
        <w:t>202</w:t>
      </w:r>
      <w:r w:rsidR="00682313">
        <w:rPr>
          <w:rFonts w:cs="Arial"/>
          <w:sz w:val="24"/>
          <w:szCs w:val="24"/>
        </w:rPr>
        <w:t>2</w:t>
      </w:r>
      <w:r w:rsidR="00880A02">
        <w:rPr>
          <w:rFonts w:cs="Arial"/>
          <w:sz w:val="24"/>
          <w:szCs w:val="24"/>
        </w:rPr>
        <w:t xml:space="preserve">                  </w:t>
      </w:r>
      <w:r w:rsidR="00AD3343">
        <w:rPr>
          <w:rFonts w:cs="Arial"/>
          <w:sz w:val="24"/>
          <w:szCs w:val="24"/>
        </w:rPr>
        <w:t xml:space="preserve">      </w:t>
      </w:r>
      <w:r w:rsidR="00880A02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      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  </w:t>
      </w:r>
      <w:r w:rsidR="0066459C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163-16/н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D72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«Иджинский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682313">
              <w:rPr>
                <w:rFonts w:ascii="Arial" w:hAnsi="Arial" w:cs="Arial"/>
                <w:sz w:val="24"/>
                <w:szCs w:val="24"/>
              </w:rPr>
              <w:t>2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166FB8">
        <w:rPr>
          <w:rFonts w:ascii="Arial" w:hAnsi="Arial" w:cs="Arial"/>
          <w:sz w:val="24"/>
          <w:szCs w:val="24"/>
        </w:rPr>
        <w:t>Иджинский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F42FD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F42FD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F42FD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F42FD8">
        <w:rPr>
          <w:rFonts w:ascii="Arial" w:hAnsi="Arial" w:cs="Arial"/>
          <w:sz w:val="24"/>
          <w:szCs w:val="24"/>
        </w:rPr>
        <w:t>37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F42FD8">
        <w:rPr>
          <w:rFonts w:ascii="Arial" w:hAnsi="Arial" w:cs="Arial"/>
          <w:sz w:val="24"/>
          <w:szCs w:val="24"/>
        </w:rPr>
        <w:t>22</w:t>
      </w:r>
      <w:r w:rsidR="00ED2047" w:rsidRPr="00166FB8">
        <w:rPr>
          <w:rFonts w:ascii="Arial" w:hAnsi="Arial" w:cs="Arial"/>
          <w:sz w:val="24"/>
          <w:szCs w:val="24"/>
        </w:rPr>
        <w:t>/н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376A9" w:rsidRPr="00166FB8">
        <w:rPr>
          <w:rFonts w:ascii="Arial" w:hAnsi="Arial" w:cs="Arial"/>
          <w:sz w:val="24"/>
          <w:szCs w:val="24"/>
        </w:rPr>
        <w:t>Иджинский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682313">
        <w:rPr>
          <w:rFonts w:ascii="Arial" w:hAnsi="Arial" w:cs="Arial"/>
          <w:sz w:val="24"/>
          <w:szCs w:val="24"/>
        </w:rPr>
        <w:t>2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83723A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 w:rsidR="00D72588">
        <w:rPr>
          <w:rFonts w:ascii="Arial" w:hAnsi="Arial" w:cs="Arial"/>
          <w:sz w:val="24"/>
          <w:szCs w:val="24"/>
        </w:rPr>
        <w:t>Джигренюку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>
        <w:rPr>
          <w:rFonts w:ascii="Arial" w:hAnsi="Arial" w:cs="Arial"/>
          <w:sz w:val="24"/>
          <w:szCs w:val="24"/>
        </w:rPr>
        <w:t xml:space="preserve">Иджинский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682313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4A7A53">
        <w:rPr>
          <w:rFonts w:ascii="Arial" w:hAnsi="Arial" w:cs="Arial"/>
          <w:sz w:val="24"/>
          <w:szCs w:val="24"/>
        </w:rPr>
        <w:t>после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C85EEE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FF3F89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682313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D72588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D72588">
              <w:rPr>
                <w:rFonts w:cs="Arial"/>
                <w:sz w:val="24"/>
                <w:szCs w:val="24"/>
              </w:rPr>
              <w:t>А.Г. Керзик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D72588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</w:t>
            </w:r>
            <w:r w:rsidR="00D72588">
              <w:rPr>
                <w:rFonts w:cs="Arial"/>
                <w:sz w:val="24"/>
                <w:szCs w:val="24"/>
              </w:rPr>
              <w:t>Д.В. Джигренюк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213CC2">
        <w:rPr>
          <w:rFonts w:cs="Arial"/>
          <w:sz w:val="24"/>
          <w:szCs w:val="24"/>
        </w:rPr>
        <w:t>25.03.</w:t>
      </w:r>
      <w:r>
        <w:rPr>
          <w:rFonts w:cs="Arial"/>
          <w:sz w:val="24"/>
          <w:szCs w:val="24"/>
        </w:rPr>
        <w:t>20</w:t>
      </w:r>
      <w:r w:rsidR="00682313">
        <w:rPr>
          <w:rFonts w:cs="Arial"/>
          <w:sz w:val="24"/>
          <w:szCs w:val="24"/>
        </w:rPr>
        <w:t>22</w:t>
      </w:r>
      <w:r>
        <w:rPr>
          <w:rFonts w:cs="Arial"/>
          <w:sz w:val="24"/>
          <w:szCs w:val="24"/>
        </w:rPr>
        <w:t xml:space="preserve"> №</w:t>
      </w:r>
      <w:r w:rsidR="00213CC2">
        <w:rPr>
          <w:rFonts w:cs="Arial"/>
          <w:sz w:val="24"/>
          <w:szCs w:val="24"/>
        </w:rPr>
        <w:t>163-16/н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Иджинского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«Иджинский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734BC6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Иджинского сельсовета, утвержденных решением Шушенского районного Совета депутатов от </w:t>
      </w:r>
      <w:r w:rsidR="004B17A4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4B17A4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4B17A4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4B17A4">
        <w:rPr>
          <w:rFonts w:ascii="Arial" w:hAnsi="Arial" w:cs="Arial"/>
          <w:sz w:val="24"/>
          <w:szCs w:val="24"/>
        </w:rPr>
        <w:t>37</w:t>
      </w:r>
      <w:r w:rsidRPr="006B59A3">
        <w:rPr>
          <w:rFonts w:ascii="Arial" w:hAnsi="Arial" w:cs="Arial"/>
          <w:sz w:val="24"/>
          <w:szCs w:val="24"/>
        </w:rPr>
        <w:t>-</w:t>
      </w:r>
      <w:r w:rsidR="004B17A4">
        <w:rPr>
          <w:rFonts w:ascii="Arial" w:hAnsi="Arial" w:cs="Arial"/>
          <w:sz w:val="24"/>
          <w:szCs w:val="24"/>
        </w:rPr>
        <w:t>22</w:t>
      </w:r>
      <w:r w:rsidRPr="006B59A3">
        <w:rPr>
          <w:rFonts w:ascii="Arial" w:hAnsi="Arial" w:cs="Arial"/>
          <w:sz w:val="24"/>
          <w:szCs w:val="24"/>
        </w:rPr>
        <w:t xml:space="preserve">/н, в целях обеспечения требований законодательства, МО Шушенский район в лице главы Шушенского района </w:t>
      </w:r>
      <w:r w:rsidR="00D72588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«Иджинский сельсовет» в лице главы сельсовета </w:t>
      </w:r>
      <w:proofErr w:type="spellStart"/>
      <w:r w:rsidRPr="006B59A3">
        <w:rPr>
          <w:rFonts w:ascii="Arial" w:hAnsi="Arial" w:cs="Arial"/>
          <w:sz w:val="24"/>
          <w:szCs w:val="24"/>
        </w:rPr>
        <w:t>Филипова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Сергея Николаевича,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Иджинский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682313">
        <w:rPr>
          <w:rFonts w:cs="Arial"/>
          <w:szCs w:val="24"/>
        </w:rPr>
        <w:t>2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3723A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59A3">
        <w:rPr>
          <w:rFonts w:ascii="Arial" w:hAnsi="Arial" w:cs="Arial"/>
          <w:b/>
          <w:sz w:val="24"/>
          <w:szCs w:val="24"/>
        </w:rPr>
        <w:lastRenderedPageBreak/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682313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682313">
        <w:rPr>
          <w:rFonts w:ascii="Arial" w:hAnsi="Arial" w:cs="Arial"/>
          <w:b/>
          <w:sz w:val="24"/>
          <w:szCs w:val="24"/>
        </w:rPr>
        <w:t>31 декабря 2022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МО «Иджинский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662735, с. </w:t>
      </w:r>
      <w:proofErr w:type="spellStart"/>
      <w:r w:rsidRPr="006B59A3">
        <w:rPr>
          <w:rFonts w:ascii="Arial" w:hAnsi="Arial" w:cs="Arial"/>
          <w:sz w:val="24"/>
          <w:szCs w:val="24"/>
        </w:rPr>
        <w:t>Иджа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       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ул. Большая, № 32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Глава Иджинского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A023CB">
        <w:rPr>
          <w:rFonts w:ascii="Arial" w:hAnsi="Arial" w:cs="Arial"/>
          <w:sz w:val="24"/>
          <w:szCs w:val="24"/>
        </w:rPr>
        <w:t>С.Н. Филипов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D72588">
        <w:rPr>
          <w:rFonts w:ascii="Arial" w:hAnsi="Arial" w:cs="Arial"/>
          <w:sz w:val="24"/>
          <w:szCs w:val="24"/>
        </w:rPr>
        <w:t>Д.В. Джигренюк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682313">
        <w:rPr>
          <w:rFonts w:ascii="Arial" w:hAnsi="Arial" w:cs="Arial"/>
          <w:sz w:val="24"/>
          <w:szCs w:val="24"/>
        </w:rPr>
        <w:t>2</w:t>
      </w:r>
      <w:r w:rsidR="00A023CB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682313">
        <w:rPr>
          <w:rFonts w:ascii="Arial" w:hAnsi="Arial" w:cs="Arial"/>
          <w:sz w:val="24"/>
          <w:szCs w:val="24"/>
        </w:rPr>
        <w:t>2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6F0C9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53" w:rsidRDefault="00391453" w:rsidP="00795AA6">
      <w:r>
        <w:separator/>
      </w:r>
    </w:p>
  </w:endnote>
  <w:endnote w:type="continuationSeparator" w:id="0">
    <w:p w:rsidR="00391453" w:rsidRDefault="00391453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53" w:rsidRDefault="00391453" w:rsidP="00795AA6">
      <w:r>
        <w:separator/>
      </w:r>
    </w:p>
  </w:footnote>
  <w:footnote w:type="continuationSeparator" w:id="0">
    <w:p w:rsidR="00391453" w:rsidRDefault="00391453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06B26"/>
    <w:rsid w:val="00012C72"/>
    <w:rsid w:val="00021C69"/>
    <w:rsid w:val="00026474"/>
    <w:rsid w:val="00051709"/>
    <w:rsid w:val="0006077F"/>
    <w:rsid w:val="00062F14"/>
    <w:rsid w:val="0009092E"/>
    <w:rsid w:val="000E19C6"/>
    <w:rsid w:val="00136D2C"/>
    <w:rsid w:val="0013736F"/>
    <w:rsid w:val="00166FB8"/>
    <w:rsid w:val="00213CC2"/>
    <w:rsid w:val="00271198"/>
    <w:rsid w:val="002871C6"/>
    <w:rsid w:val="002A28E3"/>
    <w:rsid w:val="002A39CD"/>
    <w:rsid w:val="002A4882"/>
    <w:rsid w:val="002F523D"/>
    <w:rsid w:val="003376A9"/>
    <w:rsid w:val="0036089C"/>
    <w:rsid w:val="0037349B"/>
    <w:rsid w:val="003775E7"/>
    <w:rsid w:val="003843EA"/>
    <w:rsid w:val="00391453"/>
    <w:rsid w:val="00392C36"/>
    <w:rsid w:val="003E7AD6"/>
    <w:rsid w:val="003F485C"/>
    <w:rsid w:val="00424414"/>
    <w:rsid w:val="004321ED"/>
    <w:rsid w:val="00437AEB"/>
    <w:rsid w:val="00462261"/>
    <w:rsid w:val="00467AE7"/>
    <w:rsid w:val="00472B96"/>
    <w:rsid w:val="0047510B"/>
    <w:rsid w:val="004A3E21"/>
    <w:rsid w:val="004A7A53"/>
    <w:rsid w:val="004B17A4"/>
    <w:rsid w:val="004B2684"/>
    <w:rsid w:val="004C3F5C"/>
    <w:rsid w:val="004C7D49"/>
    <w:rsid w:val="004E4558"/>
    <w:rsid w:val="004F2006"/>
    <w:rsid w:val="005226E3"/>
    <w:rsid w:val="005338D5"/>
    <w:rsid w:val="00550340"/>
    <w:rsid w:val="0058542F"/>
    <w:rsid w:val="005A2FB5"/>
    <w:rsid w:val="005B38B9"/>
    <w:rsid w:val="005B7643"/>
    <w:rsid w:val="005C5A90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2313"/>
    <w:rsid w:val="00683ACD"/>
    <w:rsid w:val="00687671"/>
    <w:rsid w:val="006917D8"/>
    <w:rsid w:val="006B59A3"/>
    <w:rsid w:val="006B60C3"/>
    <w:rsid w:val="006C2045"/>
    <w:rsid w:val="006E5BAF"/>
    <w:rsid w:val="006F0C95"/>
    <w:rsid w:val="00734BC6"/>
    <w:rsid w:val="00740CF5"/>
    <w:rsid w:val="00741546"/>
    <w:rsid w:val="0077578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3723A"/>
    <w:rsid w:val="0084195A"/>
    <w:rsid w:val="00853A5F"/>
    <w:rsid w:val="00880A02"/>
    <w:rsid w:val="00886089"/>
    <w:rsid w:val="008B5F7B"/>
    <w:rsid w:val="008D6570"/>
    <w:rsid w:val="008F0BFC"/>
    <w:rsid w:val="00901F37"/>
    <w:rsid w:val="00916EEA"/>
    <w:rsid w:val="00954B60"/>
    <w:rsid w:val="00955CF0"/>
    <w:rsid w:val="009C42C0"/>
    <w:rsid w:val="00A023CB"/>
    <w:rsid w:val="00A135CA"/>
    <w:rsid w:val="00A716EA"/>
    <w:rsid w:val="00A96BA3"/>
    <w:rsid w:val="00A978F6"/>
    <w:rsid w:val="00AD016D"/>
    <w:rsid w:val="00AD3343"/>
    <w:rsid w:val="00AD7E21"/>
    <w:rsid w:val="00AE4950"/>
    <w:rsid w:val="00AE5362"/>
    <w:rsid w:val="00AE6A12"/>
    <w:rsid w:val="00AE7534"/>
    <w:rsid w:val="00AF4A9E"/>
    <w:rsid w:val="00B5529D"/>
    <w:rsid w:val="00B556A5"/>
    <w:rsid w:val="00B819E4"/>
    <w:rsid w:val="00B85AF1"/>
    <w:rsid w:val="00BB22BB"/>
    <w:rsid w:val="00BB7BBA"/>
    <w:rsid w:val="00C055C2"/>
    <w:rsid w:val="00C21577"/>
    <w:rsid w:val="00C3374B"/>
    <w:rsid w:val="00C55DD4"/>
    <w:rsid w:val="00C67332"/>
    <w:rsid w:val="00C7739F"/>
    <w:rsid w:val="00C85EEE"/>
    <w:rsid w:val="00C92B3A"/>
    <w:rsid w:val="00CA2EB0"/>
    <w:rsid w:val="00CE04AA"/>
    <w:rsid w:val="00CF2402"/>
    <w:rsid w:val="00CF3F5B"/>
    <w:rsid w:val="00D411C4"/>
    <w:rsid w:val="00D4458A"/>
    <w:rsid w:val="00D72588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90D88"/>
    <w:rsid w:val="00EA3C45"/>
    <w:rsid w:val="00EB645D"/>
    <w:rsid w:val="00EB6A67"/>
    <w:rsid w:val="00ED2047"/>
    <w:rsid w:val="00ED2F3D"/>
    <w:rsid w:val="00ED5578"/>
    <w:rsid w:val="00EF6436"/>
    <w:rsid w:val="00EF7477"/>
    <w:rsid w:val="00F0546B"/>
    <w:rsid w:val="00F225CD"/>
    <w:rsid w:val="00F42FD8"/>
    <w:rsid w:val="00F63CD7"/>
    <w:rsid w:val="00F73733"/>
    <w:rsid w:val="00F83B40"/>
    <w:rsid w:val="00F9499A"/>
    <w:rsid w:val="00FB3C13"/>
    <w:rsid w:val="00FB5DDF"/>
    <w:rsid w:val="00FC31E4"/>
    <w:rsid w:val="00FD7FDB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CD012-A242-4F4E-AB30-806EA609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25</cp:revision>
  <cp:lastPrinted>2022-02-03T07:03:00Z</cp:lastPrinted>
  <dcterms:created xsi:type="dcterms:W3CDTF">2020-01-09T02:48:00Z</dcterms:created>
  <dcterms:modified xsi:type="dcterms:W3CDTF">2022-03-29T06:20:00Z</dcterms:modified>
</cp:coreProperties>
</file>