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797" w:rsidRDefault="00E63797">
      <w:pPr>
        <w:pStyle w:val="1"/>
      </w:pPr>
      <w:bookmarkStart w:id="0" w:name="sub_1000"/>
      <w:bookmarkStart w:id="1" w:name="_GoBack"/>
      <w:bookmarkEnd w:id="1"/>
      <w:r>
        <w:t>Правила</w:t>
      </w:r>
      <w:r>
        <w:br/>
        <w:t>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br/>
        <w:t xml:space="preserve">(утв. </w:t>
      </w:r>
      <w:hyperlink w:anchor="sub_0" w:history="1">
        <w:r>
          <w:rPr>
            <w:rStyle w:val="a4"/>
            <w:rFonts w:cs="Times New Roman CYR"/>
            <w:b w:val="0"/>
            <w:bCs w:val="0"/>
          </w:rPr>
          <w:t>постановлением</w:t>
        </w:r>
      </w:hyperlink>
      <w:r>
        <w:t xml:space="preserve"> Правительства РФ от 24 февраля 2009 г. N 160)</w:t>
      </w:r>
    </w:p>
    <w:bookmarkEnd w:id="0"/>
    <w:p w:rsidR="00E63797" w:rsidRDefault="00E63797">
      <w:pPr>
        <w:pStyle w:val="ab"/>
      </w:pPr>
      <w:r>
        <w:t>С изменениями и дополнениями от:</w:t>
      </w:r>
    </w:p>
    <w:p w:rsidR="00E63797" w:rsidRDefault="00E63797">
      <w:pPr>
        <w:pStyle w:val="a9"/>
        <w:rPr>
          <w:shd w:val="clear" w:color="auto" w:fill="EAEFED"/>
        </w:rPr>
      </w:pPr>
      <w:r>
        <w:t xml:space="preserve"> </w:t>
      </w:r>
      <w:r>
        <w:rPr>
          <w:shd w:val="clear" w:color="auto" w:fill="EAEFED"/>
        </w:rPr>
        <w:t>5 июня, 26 августа 2013 г., 17 мая 2016 г., 21 декабря 2018 г.</w:t>
      </w:r>
    </w:p>
    <w:p w:rsidR="00E63797" w:rsidRDefault="00E63797">
      <w:pPr>
        <w:pStyle w:val="1"/>
      </w:pPr>
      <w:bookmarkStart w:id="2" w:name="sub_1100"/>
      <w:r>
        <w:t>I. Общие положения</w:t>
      </w:r>
    </w:p>
    <w:bookmarkEnd w:id="2"/>
    <w:p w:rsidR="00E63797" w:rsidRDefault="00E63797"/>
    <w:p w:rsidR="00E63797" w:rsidRDefault="00E63797">
      <w:bookmarkStart w:id="3" w:name="sub_1001"/>
      <w:r>
        <w:t>1. Настоящие Правила определяют порядок установления охранных зон объектов электросетевого хозяйства (далее - охранные зоны), а также особые условия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E63797" w:rsidRDefault="00E63797">
      <w:bookmarkStart w:id="4" w:name="sub_1002"/>
      <w:bookmarkEnd w:id="3"/>
      <w:r>
        <w:t>2. 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E63797" w:rsidRDefault="00E63797">
      <w:bookmarkStart w:id="5" w:name="sub_1003"/>
      <w:bookmarkEnd w:id="4"/>
      <w:r>
        <w:t xml:space="preserve">3. </w:t>
      </w:r>
      <w:hyperlink r:id="rId7" w:history="1">
        <w:r>
          <w:rPr>
            <w:rStyle w:val="a4"/>
            <w:rFonts w:cs="Times New Roman CYR"/>
          </w:rPr>
          <w:t>Границы</w:t>
        </w:r>
      </w:hyperlink>
      <w:r>
        <w:t xml:space="preserve"> охранных зон определяются в соответствии с настоящими Правилами.</w:t>
      </w:r>
    </w:p>
    <w:p w:rsidR="00E63797" w:rsidRDefault="00E63797">
      <w:bookmarkStart w:id="6" w:name="sub_1004"/>
      <w:bookmarkEnd w:id="5"/>
      <w:r>
        <w:t>4. Земельные участки у их собственников, землевладельцев, землепользователей или арендаторов не изымаются.</w:t>
      </w:r>
    </w:p>
    <w:bookmarkEnd w:id="6"/>
    <w:p w:rsidR="00E63797" w:rsidRDefault="00E63797"/>
    <w:p w:rsidR="00E63797" w:rsidRDefault="00E63797">
      <w:pPr>
        <w:pStyle w:val="1"/>
      </w:pPr>
      <w:bookmarkStart w:id="7" w:name="sub_1200"/>
      <w:r>
        <w:t>II. Установление охранных зон</w:t>
      </w:r>
    </w:p>
    <w:bookmarkEnd w:id="7"/>
    <w:p w:rsidR="00E63797" w:rsidRDefault="00E63797"/>
    <w:p w:rsidR="00E63797" w:rsidRDefault="00E63797">
      <w:bookmarkStart w:id="8" w:name="sub_1005"/>
      <w:r>
        <w:t xml:space="preserve">5. Охранные зоны устанавливаются для всех объектов электросетевого хозяйства исходя из требований к границам установления охранных зон согласно </w:t>
      </w:r>
      <w:hyperlink w:anchor="sub_11000" w:history="1">
        <w:r>
          <w:rPr>
            <w:rStyle w:val="a4"/>
            <w:rFonts w:cs="Times New Roman CYR"/>
          </w:rPr>
          <w:t>приложению</w:t>
        </w:r>
      </w:hyperlink>
      <w:r>
        <w:t>.</w:t>
      </w:r>
    </w:p>
    <w:bookmarkEnd w:id="8"/>
    <w:p w:rsidR="00E63797" w:rsidRDefault="00E63797">
      <w:r>
        <w:t>6.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rsidR="00E63797" w:rsidRDefault="00E63797">
      <w:bookmarkStart w:id="9" w:name="sub_1062"/>
      <w:r>
        <w:t>Сетевая организация обращается в федеральный орган исполнительной власти, осуществляющий федеральный государственный энергетический надзор, с заявлением о согласовании границ охранной зоны в отношении отдельных объектов электросетевого хозяйства и представленными в виде электронного документа и в бумажном виде сведениями о границах охранной зоны, которые должны содержать текстовое и графическое описания местоположения границ такой зоны, а также перечень координат характерных точек этих границ в системе координат, установленной для ведения государственного кадастра недвижимости. Решение о согласовании границ охранной зоны принимается федеральным органом исполнительной власти, осуществляющим федеральный государственный энергетический надзор, в течение 15 рабочих дней со дня поступления указанных заявления и сведений.</w:t>
      </w:r>
    </w:p>
    <w:p w:rsidR="00E63797" w:rsidRDefault="00E63797">
      <w:bookmarkStart w:id="10" w:name="sub_1063"/>
      <w:bookmarkEnd w:id="9"/>
      <w:r>
        <w:t>После согласования границ охранной зоны федеральный орган исполнительной власти, осуществляющий федеральный государственный энергетический надзор, направляет в течение 5 рабочих дней в Федеральную службу государственной регистрации, кадастра и картографии документ, воспроизводящий сведения, содержащиеся в решении о согласовании границ охранной зоны в отношении отдельных объектов электросетевого хозяйства, включая их наименование и содержание ограничений использования объектов недвижимости в их границах, с приложением текстового и графического описаний местоположения границ такой зоны, а также перечня координат характерных точек этих границ в системе координат, установленной для ведения государственного кадастра недвижимости, на основании которого указанный федеральный орган исполнительной власти принимает решение о внесении в государственный кадастр недвижимости сведений о границах охранной зоны.</w:t>
      </w:r>
    </w:p>
    <w:bookmarkEnd w:id="10"/>
    <w:p w:rsidR="00E63797" w:rsidRDefault="00E63797">
      <w:r>
        <w:lastRenderedPageBreak/>
        <w:t>Охранная зона считается установленной с даты внесения в документы государственного кадастрового учета сведений о ее границах.</w:t>
      </w:r>
    </w:p>
    <w:p w:rsidR="00E63797" w:rsidRDefault="00E63797">
      <w:bookmarkStart w:id="11" w:name="sub_1007"/>
      <w:r>
        <w:t>7. Охранные зоны подлежат маркировке путем установки за счет сетевых организаций предупреждающих знаков, содержащих указание на размер охранной зоны, информацию о соответствующей сетевой организации, а также необходимость соблюдения предусмотренных настоящими Правилами ограничений.</w:t>
      </w:r>
    </w:p>
    <w:bookmarkEnd w:id="11"/>
    <w:p w:rsidR="00E63797" w:rsidRDefault="00E63797"/>
    <w:p w:rsidR="00E63797" w:rsidRDefault="00E63797">
      <w:pPr>
        <w:pStyle w:val="1"/>
      </w:pPr>
      <w:bookmarkStart w:id="12" w:name="sub_1300"/>
      <w:r>
        <w:t>III. Правила охраны электрических сетей, размещенных на земельных участках</w:t>
      </w:r>
    </w:p>
    <w:bookmarkEnd w:id="12"/>
    <w:p w:rsidR="00E63797" w:rsidRDefault="00E63797"/>
    <w:p w:rsidR="00E63797" w:rsidRDefault="00E63797">
      <w:bookmarkStart w:id="13" w:name="sub_1008"/>
      <w:r>
        <w:t>8.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E63797" w:rsidRDefault="00E63797">
      <w:bookmarkStart w:id="14" w:name="sub_1041"/>
      <w:bookmarkEnd w:id="13"/>
      <w: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E63797" w:rsidRDefault="00E63797">
      <w:bookmarkStart w:id="15" w:name="sub_1082"/>
      <w:bookmarkEnd w:id="14"/>
      <w: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E63797" w:rsidRDefault="00E63797">
      <w:bookmarkStart w:id="16" w:name="sub_1083"/>
      <w:bookmarkEnd w:id="15"/>
      <w: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E63797" w:rsidRDefault="00E63797">
      <w:bookmarkStart w:id="17" w:name="sub_1084"/>
      <w:bookmarkEnd w:id="16"/>
      <w:r>
        <w:t>г) размещать свалки;</w:t>
      </w:r>
    </w:p>
    <w:p w:rsidR="00E63797" w:rsidRDefault="00E63797">
      <w:bookmarkStart w:id="18" w:name="sub_1085"/>
      <w:bookmarkEnd w:id="17"/>
      <w: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E63797" w:rsidRDefault="00E63797">
      <w:bookmarkStart w:id="19" w:name="sub_1009"/>
      <w:bookmarkEnd w:id="18"/>
      <w:r>
        <w:t>9.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w:t>
      </w:r>
    </w:p>
    <w:p w:rsidR="00E63797" w:rsidRDefault="00E63797">
      <w:bookmarkStart w:id="20" w:name="sub_1091"/>
      <w:bookmarkEnd w:id="19"/>
      <w:r>
        <w:t>а) складировать или размещать хранилища любых, в том числе горюче-смазочных, материалов;</w:t>
      </w:r>
    </w:p>
    <w:bookmarkEnd w:id="20"/>
    <w:p w:rsidR="00E63797" w:rsidRDefault="00E63797">
      <w: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E63797" w:rsidRDefault="00E63797">
      <w:bookmarkStart w:id="21" w:name="sub_1093"/>
      <w: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E63797" w:rsidRDefault="00E63797">
      <w:bookmarkStart w:id="22" w:name="sub_1094"/>
      <w:bookmarkEnd w:id="21"/>
      <w: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63797" w:rsidRDefault="00E63797">
      <w:bookmarkStart w:id="23" w:name="sub_1095"/>
      <w:bookmarkEnd w:id="22"/>
      <w:r>
        <w:t>д) осуществлять проход судов с поднятыми стрелами кранов и других механизмов (в охранных зонах воздушных линий электропередачи).</w:t>
      </w:r>
    </w:p>
    <w:p w:rsidR="00E63797" w:rsidRDefault="00E63797">
      <w:bookmarkStart w:id="24" w:name="sub_1010"/>
      <w:bookmarkEnd w:id="23"/>
      <w:r>
        <w:t>10. В пределах охранных зон без письменного решения о согласовании сетевых организаций юридическим и физическим лицам запрещаются:</w:t>
      </w:r>
    </w:p>
    <w:bookmarkEnd w:id="24"/>
    <w:p w:rsidR="00E63797" w:rsidRDefault="00E63797">
      <w:r>
        <w:t>а) строительство, капитальный ремонт, реконструкция или снос зданий и сооружений;</w:t>
      </w:r>
    </w:p>
    <w:p w:rsidR="00E63797" w:rsidRDefault="00E63797">
      <w:bookmarkStart w:id="25" w:name="sub_10102"/>
      <w:r>
        <w:lastRenderedPageBreak/>
        <w:t>б) горные, взрывные, мелиоративные работы, в том числе связанные с временным затоплением земель;</w:t>
      </w:r>
    </w:p>
    <w:p w:rsidR="00E63797" w:rsidRDefault="00E63797">
      <w:bookmarkStart w:id="26" w:name="sub_10103"/>
      <w:bookmarkEnd w:id="25"/>
      <w:r>
        <w:t>в) посадка и вырубка деревьев и кустарников;</w:t>
      </w:r>
    </w:p>
    <w:p w:rsidR="00E63797" w:rsidRDefault="00E63797">
      <w:bookmarkStart w:id="27" w:name="sub_10104"/>
      <w:bookmarkEnd w:id="26"/>
      <w: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63797" w:rsidRDefault="00E63797">
      <w:bookmarkStart w:id="28" w:name="sub_10105"/>
      <w:bookmarkEnd w:id="27"/>
      <w: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E63797" w:rsidRDefault="00E63797">
      <w:bookmarkStart w:id="29" w:name="sub_10106"/>
      <w:bookmarkEnd w:id="28"/>
      <w: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63797" w:rsidRDefault="00E63797">
      <w:bookmarkStart w:id="30" w:name="sub_10107"/>
      <w:bookmarkEnd w:id="29"/>
      <w: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63797" w:rsidRDefault="00E63797">
      <w:bookmarkStart w:id="31" w:name="sub_10108"/>
      <w:bookmarkEnd w:id="30"/>
      <w: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E63797" w:rsidRDefault="00E63797">
      <w:bookmarkStart w:id="32" w:name="sub_10109"/>
      <w:bookmarkEnd w:id="31"/>
      <w: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63797" w:rsidRDefault="00E63797">
      <w:bookmarkStart w:id="33" w:name="sub_1011"/>
      <w:bookmarkEnd w:id="32"/>
      <w:r>
        <w:t xml:space="preserve">11. В охранных зонах, установленных для объектов электросетевого хозяйства напряжением до 1000 вольт, помимо действий, предусмотренных </w:t>
      </w:r>
      <w:hyperlink w:anchor="sub_1010" w:history="1">
        <w:r>
          <w:rPr>
            <w:rStyle w:val="a4"/>
            <w:rFonts w:cs="Times New Roman CYR"/>
          </w:rPr>
          <w:t>пунктом 10</w:t>
        </w:r>
      </w:hyperlink>
      <w:r>
        <w:t xml:space="preserve"> настоящих Правил, без письменного решения о согласовании сетевых организаций запрещается:</w:t>
      </w:r>
    </w:p>
    <w:bookmarkEnd w:id="33"/>
    <w:p w:rsidR="00E63797" w:rsidRDefault="00E63797">
      <w: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E63797" w:rsidRDefault="00E63797">
      <w:bookmarkStart w:id="34" w:name="sub_10112"/>
      <w:r>
        <w:t>б) складировать или размещать хранилища любых, в том числе горюче-смазочных, материалов;</w:t>
      </w:r>
    </w:p>
    <w:p w:rsidR="00E63797" w:rsidRDefault="00E63797">
      <w:bookmarkStart w:id="35" w:name="sub_10113"/>
      <w:bookmarkEnd w:id="34"/>
      <w: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bookmarkEnd w:id="35"/>
    <w:p w:rsidR="00E63797" w:rsidRDefault="00E63797">
      <w:r>
        <w:t xml:space="preserve">12. Для получения письменного решения о согласовании осуществления действий, предусмотренных </w:t>
      </w:r>
      <w:hyperlink w:anchor="sub_1010" w:history="1">
        <w:r>
          <w:rPr>
            <w:rStyle w:val="a4"/>
            <w:rFonts w:cs="Times New Roman CYR"/>
          </w:rPr>
          <w:t>пунктами 10</w:t>
        </w:r>
      </w:hyperlink>
      <w:r>
        <w:t xml:space="preserve"> и </w:t>
      </w:r>
      <w:hyperlink w:anchor="sub_1011" w:history="1">
        <w:r>
          <w:rPr>
            <w:rStyle w:val="a4"/>
            <w:rFonts w:cs="Times New Roman CYR"/>
          </w:rPr>
          <w:t>11</w:t>
        </w:r>
      </w:hyperlink>
      <w:r>
        <w:t xml:space="preserve"> настоящих Правил, заинтересованные лица обращаются с письменным заявлением к сетевой организации (ее филиалу, представительству или структурному подразделению), ответственной за эксплуатацию соответствующих объектов электросетевого хозяйства, не позднее чем за 15 рабочих дней до осуществления необходимых действий.</w:t>
      </w:r>
    </w:p>
    <w:p w:rsidR="00E63797" w:rsidRDefault="00E63797">
      <w:r>
        <w:t>Сетевая организация в течение 2 дней с даты поступления заявления рассматривает его и принимает решение о согласовании (отказе в согласовании) осуществления соответствующих действий.</w:t>
      </w:r>
    </w:p>
    <w:p w:rsidR="00E63797" w:rsidRDefault="00E63797">
      <w:r>
        <w:t xml:space="preserve">Письменное решение о согласовании (отказе в согласовании) осуществления действий, предусмотренных </w:t>
      </w:r>
      <w:hyperlink w:anchor="sub_1010" w:history="1">
        <w:r>
          <w:rPr>
            <w:rStyle w:val="a4"/>
            <w:rFonts w:cs="Times New Roman CYR"/>
          </w:rPr>
          <w:t>пунктами 10</w:t>
        </w:r>
      </w:hyperlink>
      <w:r>
        <w:t xml:space="preserve"> и </w:t>
      </w:r>
      <w:hyperlink w:anchor="sub_1011" w:history="1">
        <w:r>
          <w:rPr>
            <w:rStyle w:val="a4"/>
            <w:rFonts w:cs="Times New Roman CYR"/>
          </w:rPr>
          <w:t>11</w:t>
        </w:r>
      </w:hyperlink>
      <w:r>
        <w:t xml:space="preserve"> настоящих Правил, вручается заявителю, либо направляется ему почтовым отправлением с уведомлением о вручении. Заявитель также информируется сетевой организацией о принятом решении с использованием факсимильных или электронных средств связи в случае, если в заявлении указано на необходимость такого информирования.</w:t>
      </w:r>
    </w:p>
    <w:p w:rsidR="00E63797" w:rsidRDefault="00E63797">
      <w:r>
        <w:t xml:space="preserve">Отказ в согласовании действий, предусмотренных </w:t>
      </w:r>
      <w:hyperlink w:anchor="sub_1010" w:history="1">
        <w:r>
          <w:rPr>
            <w:rStyle w:val="a4"/>
            <w:rFonts w:cs="Times New Roman CYR"/>
          </w:rPr>
          <w:t>пунктами 10</w:t>
        </w:r>
      </w:hyperlink>
      <w:r>
        <w:t xml:space="preserve"> и </w:t>
      </w:r>
      <w:hyperlink w:anchor="sub_1011" w:history="1">
        <w:r>
          <w:rPr>
            <w:rStyle w:val="a4"/>
            <w:rFonts w:cs="Times New Roman CYR"/>
          </w:rPr>
          <w:t>11</w:t>
        </w:r>
      </w:hyperlink>
      <w:r>
        <w:t xml:space="preserve"> настоящих Правил, допускается, если осуществление соответствующих действий нарушает требования, установленные нормативными правовыми актами, и может повлечь нарушение функционирования </w:t>
      </w:r>
      <w:r>
        <w:lastRenderedPageBreak/>
        <w:t>соответствующих объектов электросетевого хозяйства. Отказ должен быть мотивированным и содержать ссылки на положения нормативных правовых актов, которые будут нарушены вследствие производства заявителем соответствующих работ (осуществления соответствующих действий).</w:t>
      </w:r>
    </w:p>
    <w:p w:rsidR="00E63797" w:rsidRDefault="00E63797">
      <w:r>
        <w:t>Лица, получившие решение о согласовании осуществления действий в охранных зонах, обязаны осуществлять их с соблюдением условий, обеспечивающих сохранность объектов электросетевого хозяйства.</w:t>
      </w:r>
    </w:p>
    <w:p w:rsidR="00E63797" w:rsidRDefault="00E63797">
      <w:r>
        <w:t xml:space="preserve">Письменное решение о согласовании производства взрывных работ в охранных зонах выдается только после представления лицами, производящими эти работы, оформленной в установленном порядке технической документации (проекты, паспорта и т.п.), предусмотренной </w:t>
      </w:r>
      <w:hyperlink r:id="rId8" w:history="1">
        <w:r>
          <w:rPr>
            <w:rStyle w:val="a4"/>
            <w:rFonts w:cs="Times New Roman CYR"/>
          </w:rPr>
          <w:t>правилами</w:t>
        </w:r>
      </w:hyperlink>
      <w:r>
        <w:t xml:space="preserve"> безопасности при взрывных работах, установленными нормативными правовыми актами.</w:t>
      </w:r>
    </w:p>
    <w:p w:rsidR="00E63797" w:rsidRDefault="00E63797">
      <w:r>
        <w:t xml:space="preserve">При получении письменного решения о согласовании строительства, капитального ремонта и реконструкции зданий и сооружений одновременно с указанным заявлением сетевой организации направляется проектная документация, разработанная применительно к соответствующим объектам. В случае если разработка такой документации в соответствии с </w:t>
      </w:r>
      <w:hyperlink r:id="rId9" w:history="1">
        <w:r>
          <w:rPr>
            <w:rStyle w:val="a4"/>
            <w:rFonts w:cs="Times New Roman CYR"/>
          </w:rPr>
          <w:t>законодательством</w:t>
        </w:r>
      </w:hyperlink>
      <w:r>
        <w:t xml:space="preserve"> о градостроительной деятельности не является обязательной, одновременно с таким заявлением представляются сведения о параметрах объекта, который планируется построить (изменении его параметров при реконструкции), а также о сроках и объемах работ по строительству, реконструкции и ремонту. Требовать от лиц, заинтересованных в осуществлении строительства, реконструкции и ремонта зданий и сооружений, иные документы и сведения не допускается.</w:t>
      </w:r>
    </w:p>
    <w:p w:rsidR="00E63797" w:rsidRDefault="00E63797">
      <w:r>
        <w:t xml:space="preserve">Отказ сетевых организаций в выдаче письменного решения о согласовании осуществления в охранных зонах действий, предусмотренных </w:t>
      </w:r>
      <w:hyperlink w:anchor="sub_1010" w:history="1">
        <w:r>
          <w:rPr>
            <w:rStyle w:val="a4"/>
            <w:rFonts w:cs="Times New Roman CYR"/>
          </w:rPr>
          <w:t>пунктами 10</w:t>
        </w:r>
      </w:hyperlink>
      <w:r>
        <w:t xml:space="preserve"> и </w:t>
      </w:r>
      <w:hyperlink w:anchor="sub_1011" w:history="1">
        <w:r>
          <w:rPr>
            <w:rStyle w:val="a4"/>
            <w:rFonts w:cs="Times New Roman CYR"/>
          </w:rPr>
          <w:t>11</w:t>
        </w:r>
      </w:hyperlink>
      <w:r>
        <w:t xml:space="preserve"> настоящих Правил, может быть обжалован в суде.</w:t>
      </w:r>
    </w:p>
    <w:p w:rsidR="00E63797" w:rsidRDefault="00E63797">
      <w:bookmarkStart w:id="36" w:name="sub_10129"/>
      <w:r>
        <w:t xml:space="preserve">При обнаружении федеральным органом исполнительной власти, осуществляющим федеральный государственный энергетический надзор, фактов осуществления в границах охранных зон действий, запрещенных </w:t>
      </w:r>
      <w:hyperlink w:anchor="sub_1008" w:history="1">
        <w:r>
          <w:rPr>
            <w:rStyle w:val="a4"/>
            <w:rFonts w:cs="Times New Roman CYR"/>
          </w:rPr>
          <w:t>пунктами 8</w:t>
        </w:r>
      </w:hyperlink>
      <w:r>
        <w:t xml:space="preserve"> и </w:t>
      </w:r>
      <w:hyperlink w:anchor="sub_1009" w:history="1">
        <w:r>
          <w:rPr>
            <w:rStyle w:val="a4"/>
            <w:rFonts w:cs="Times New Roman CYR"/>
          </w:rPr>
          <w:t>9</w:t>
        </w:r>
      </w:hyperlink>
      <w:r>
        <w:t xml:space="preserve"> настоящих Правил, или действий, предусмотренных </w:t>
      </w:r>
      <w:hyperlink w:anchor="sub_1010" w:history="1">
        <w:r>
          <w:rPr>
            <w:rStyle w:val="a4"/>
            <w:rFonts w:cs="Times New Roman CYR"/>
          </w:rPr>
          <w:t>пунктами 10</w:t>
        </w:r>
      </w:hyperlink>
      <w:r>
        <w:t xml:space="preserve"> и </w:t>
      </w:r>
      <w:hyperlink w:anchor="sub_1011" w:history="1">
        <w:r>
          <w:rPr>
            <w:rStyle w:val="a4"/>
            <w:rFonts w:cs="Times New Roman CYR"/>
          </w:rPr>
          <w:t>11</w:t>
        </w:r>
      </w:hyperlink>
      <w:r>
        <w:t xml:space="preserve"> настоящих Правил, без получения письменного решения о согласовании сетевой организации, уполномоченные должностные лица указанного органа составляют протоколы о соответствующих административных правонарушениях в соответствии с </w:t>
      </w:r>
      <w:hyperlink r:id="rId10" w:history="1">
        <w:r>
          <w:rPr>
            <w:rStyle w:val="a4"/>
            <w:rFonts w:cs="Times New Roman CYR"/>
          </w:rPr>
          <w:t>законодательством</w:t>
        </w:r>
      </w:hyperlink>
      <w:r>
        <w:t xml:space="preserve"> Российской Федерации.</w:t>
      </w:r>
    </w:p>
    <w:p w:rsidR="00E63797" w:rsidRDefault="00E63797">
      <w:bookmarkStart w:id="37" w:name="sub_101210"/>
      <w:bookmarkEnd w:id="36"/>
      <w:r>
        <w:t xml:space="preserve">При обнаружении сетевыми организациями и иными лицами фактов осуществления в границах охранных зон действий, запрещенных </w:t>
      </w:r>
      <w:hyperlink w:anchor="sub_1008" w:history="1">
        <w:r>
          <w:rPr>
            <w:rStyle w:val="a4"/>
            <w:rFonts w:cs="Times New Roman CYR"/>
          </w:rPr>
          <w:t>пунктами 8</w:t>
        </w:r>
      </w:hyperlink>
      <w:r>
        <w:t xml:space="preserve"> и </w:t>
      </w:r>
      <w:hyperlink w:anchor="sub_1009" w:history="1">
        <w:r>
          <w:rPr>
            <w:rStyle w:val="a4"/>
            <w:rFonts w:cs="Times New Roman CYR"/>
          </w:rPr>
          <w:t>9</w:t>
        </w:r>
      </w:hyperlink>
      <w:r>
        <w:t xml:space="preserve"> настоящих Правил, или действий, предусмотренных </w:t>
      </w:r>
      <w:hyperlink w:anchor="sub_1010" w:history="1">
        <w:r>
          <w:rPr>
            <w:rStyle w:val="a4"/>
            <w:rFonts w:cs="Times New Roman CYR"/>
          </w:rPr>
          <w:t>пунктами 10</w:t>
        </w:r>
      </w:hyperlink>
      <w:r>
        <w:t xml:space="preserve"> и </w:t>
      </w:r>
      <w:hyperlink w:anchor="sub_1011" w:history="1">
        <w:r>
          <w:rPr>
            <w:rStyle w:val="a4"/>
            <w:rFonts w:cs="Times New Roman CYR"/>
          </w:rPr>
          <w:t>11</w:t>
        </w:r>
      </w:hyperlink>
      <w:r>
        <w:t xml:space="preserve"> настоящих Правил, без получения письменного решения о согласовании сетевой организации, указанные лица направляют заявление о наличии таких фактов в федеральный орган исполнительной власти, осуществляющий федеральный государственный энергетический надзор, а также вправе в соответствии с законодательством Российской Федерации обратиться в суд и (или) органы исполнительной власти, уполномоченные на рассмотрение дел о соответствующих правонарушениях.</w:t>
      </w:r>
    </w:p>
    <w:p w:rsidR="00E63797" w:rsidRDefault="00E63797">
      <w:bookmarkStart w:id="38" w:name="sub_1013"/>
      <w:bookmarkEnd w:id="37"/>
      <w:r>
        <w:t>13. 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rsidR="00E63797" w:rsidRDefault="00E63797">
      <w:bookmarkStart w:id="39" w:name="sub_1014"/>
      <w:bookmarkEnd w:id="38"/>
      <w:r>
        <w:t xml:space="preserve">14. 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4,5 метра в охранных зонах воздушных линий электропередачи независимо от </w:t>
      </w:r>
      <w:r>
        <w:lastRenderedPageBreak/>
        <w:t>проектного номинального класса напряжения.</w:t>
      </w:r>
    </w:p>
    <w:bookmarkEnd w:id="39"/>
    <w:p w:rsidR="00E63797" w:rsidRDefault="00E63797">
      <w:pPr>
        <w:pStyle w:val="a7"/>
        <w:rPr>
          <w:shd w:val="clear" w:color="auto" w:fill="F0F0F0"/>
        </w:rPr>
      </w:pPr>
    </w:p>
    <w:p w:rsidR="00E63797" w:rsidRDefault="00E63797">
      <w:r>
        <w:t>15. Лица, производящие земляные работы, при обнаружении кабеля, не указанного в технической документации на производство работ, обязаны немедленно прекратить эти работы, принять меры к обеспечению сохранности кабеля и в течение суток сообщить об этом сетевой организации, владеющей на праве собственности (ином законном основании) указанной кабельной линией, либо федеральному органу исполнительной власти, осуществляющему федеральный государственный энергетический надзор.</w:t>
      </w:r>
    </w:p>
    <w:p w:rsidR="00E63797" w:rsidRDefault="00E63797"/>
    <w:p w:rsidR="00E63797" w:rsidRDefault="00E63797">
      <w:pPr>
        <w:pStyle w:val="1"/>
      </w:pPr>
      <w:bookmarkStart w:id="40" w:name="sub_1400"/>
      <w:r>
        <w:t>IV. Особенности использования сетевыми организациями земельных участков</w:t>
      </w:r>
    </w:p>
    <w:bookmarkEnd w:id="40"/>
    <w:p w:rsidR="00E63797" w:rsidRDefault="00E63797"/>
    <w:p w:rsidR="00E63797" w:rsidRDefault="00E63797">
      <w:bookmarkStart w:id="41" w:name="sub_1016"/>
      <w:r>
        <w:t xml:space="preserve">16. Доступ к объектам электросетевого хозяйства для их эксплуатации и плановых (регламентных) работ осуществляется в соответствии с </w:t>
      </w:r>
      <w:hyperlink r:id="rId11" w:history="1">
        <w:r>
          <w:rPr>
            <w:rStyle w:val="a4"/>
            <w:rFonts w:cs="Times New Roman CYR"/>
          </w:rPr>
          <w:t>гражданским</w:t>
        </w:r>
      </w:hyperlink>
      <w:r>
        <w:t xml:space="preserve"> и </w:t>
      </w:r>
      <w:hyperlink r:id="rId12" w:history="1">
        <w:r>
          <w:rPr>
            <w:rStyle w:val="a4"/>
            <w:rFonts w:cs="Times New Roman CYR"/>
          </w:rPr>
          <w:t>земельным законодательством</w:t>
        </w:r>
      </w:hyperlink>
      <w:r>
        <w:t>.</w:t>
      </w:r>
    </w:p>
    <w:bookmarkEnd w:id="41"/>
    <w:p w:rsidR="00E63797" w:rsidRDefault="00E63797">
      <w:r>
        <w:t>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w:t>
      </w:r>
    </w:p>
    <w:p w:rsidR="00E63797" w:rsidRDefault="00E63797">
      <w:bookmarkStart w:id="42" w:name="sub_1017"/>
      <w:r>
        <w:t>17. Плановые (регламентные) работы по техническому обслуживанию объектов электросетевого хозяйства производятся с предварительным уведомлением собственников (землепользователей, землевладельцев, арендаторов) земельных участков.</w:t>
      </w:r>
    </w:p>
    <w:bookmarkEnd w:id="42"/>
    <w:p w:rsidR="00E63797" w:rsidRDefault="00E63797">
      <w:r>
        <w:t>Уведомление направляется в письменной форме почтовым отправлением с уведомлением о вручении. Направление уведомления осуществляется с учетом определенных в установленном порядке контрольных сроков пересылки письменной корреспонденции в срок, позволяющий обеспечить его получение не позднее чем за 7 рабочих дней до даты начала проведения соответствующих работ, за исключением случаев, предусмотренных пунктом 18 настоящих Правил. В уведомлении указывается продолжительность работ, а также их содержание.</w:t>
      </w:r>
    </w:p>
    <w:p w:rsidR="00E63797" w:rsidRDefault="00E63797">
      <w:bookmarkStart w:id="43" w:name="sub_1018"/>
      <w:r>
        <w:t>18. Работы по предотвращению или ликвидации аварий, а также их последствий на объектах электросетевого хозяйства могут проводиться без предварительного уведомления собственников (землепользователей, землевладельцев, арендаторов) земельных участков. При проведении указанных работ сетевые организации обязаны направить уведомление собственникам (землепользователям, землевладельцам, арендаторам) соответствующих земельных участков не позднее чем через 2 рабочих дня с момента начала работ.</w:t>
      </w:r>
    </w:p>
    <w:bookmarkEnd w:id="43"/>
    <w:p w:rsidR="00E63797" w:rsidRDefault="00E63797">
      <w:r>
        <w:t>В уведомлении указывается характер и вид повреждения объектов электросетевого хозяйства, а также сроки начала и окончания работ.</w:t>
      </w:r>
    </w:p>
    <w:p w:rsidR="00E63797" w:rsidRDefault="00E63797">
      <w:r>
        <w:t>После выполнения работ по техническому обслуживанию объектов электросетевого хозяйства, работ по предотвращению или ликвидации аварий на таких объектах или их последствий сетевые организации должны привести земельные участки в состояние, пригодное для их использования по целевому назначению или в состояние, в котором соответствующие земельные участки находились до выполнения работ, а также возместить собственникам (землепользователям, землевладельцам, арендаторам) убытки, причиненные при производстве работ.</w:t>
      </w:r>
    </w:p>
    <w:p w:rsidR="00E63797" w:rsidRDefault="00E63797">
      <w:bookmarkStart w:id="44" w:name="sub_1019"/>
      <w:r>
        <w:t>19. 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w:t>
      </w:r>
    </w:p>
    <w:p w:rsidR="00E63797" w:rsidRDefault="00E63797">
      <w:bookmarkStart w:id="45" w:name="sub_1020"/>
      <w:bookmarkEnd w:id="44"/>
      <w:r>
        <w:t xml:space="preserve">20. 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поселений - </w:t>
      </w:r>
      <w:r>
        <w:lastRenderedPageBreak/>
        <w:t>также с органами местного самоуправления.</w:t>
      </w:r>
    </w:p>
    <w:bookmarkEnd w:id="45"/>
    <w:p w:rsidR="00E63797" w:rsidRDefault="00E63797">
      <w:r>
        <w:t>В целях согласования условий проведения работ сетевая организация, осуществляющая эксплуатацию соответствующих кабельных линий электропередачи, направляет указанным субъектам не позднее чем за 7 дней до начала проведения работ письменное заявление, в котором указываются содержание и сроки проведения работ, а также проект схемы организации движения на этот период.</w:t>
      </w:r>
    </w:p>
    <w:p w:rsidR="00E63797" w:rsidRDefault="00E63797">
      <w:r>
        <w:t>Лица, владеющие на праве собственности или ином законном основании автомобильными дорогами (органы местного самоуправления поселений, в пределах которых расположены соответствующие автомобильные дороги), обязаны рассмотреть указанное заявление сетевой организации в течение 2 рабочих дней с даты его поступления и принять решение о его согласовании (отказе в согласовании). Отказ в согласовании допускается в случаях, если содержание и сроки проведения работ не соответствуют установленным обязательным требованиям или проект схемы организации движения не соответствует требованиям нормативных правовых актов в сфере обеспечения безопасности дорожного движения.</w:t>
      </w:r>
    </w:p>
    <w:p w:rsidR="00E63797" w:rsidRDefault="00E63797">
      <w:r>
        <w:t>По согласованию с лицом, владеющим на праве собственности или ином законном основании автомобильной дорогой, выполнение работ по устранению повреждений, причиненных дорогам, может производиться указанным лицом за счет средств соответствующих сетевых организаций.</w:t>
      </w:r>
    </w:p>
    <w:p w:rsidR="00E63797" w:rsidRDefault="00E63797">
      <w:bookmarkStart w:id="46" w:name="sub_1021"/>
      <w:r>
        <w:t>21. 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rsidR="00E63797" w:rsidRDefault="00E63797">
      <w:bookmarkStart w:id="47" w:name="sub_10211"/>
      <w:bookmarkEnd w:id="46"/>
      <w:r>
        <w:t>а) прокладка и содержание просек вдоль воздушных линий электропередачи и по периметру подстанций и распределительных устройств в случае, если указанные зоны расположены в лесных массивах и зеленых насаждениях;</w:t>
      </w:r>
    </w:p>
    <w:p w:rsidR="00E63797" w:rsidRDefault="00E63797">
      <w:bookmarkStart w:id="48" w:name="sub_10212"/>
      <w:bookmarkEnd w:id="47"/>
      <w:r>
        <w:t>б) вырубка и опиловка деревьев и кустарников в пределах минимально допустимых расстояний до их крон, а также вырубка деревьев, угрожающих падением.</w:t>
      </w:r>
    </w:p>
    <w:bookmarkEnd w:id="48"/>
    <w:p w:rsidR="00E63797" w:rsidRDefault="00E63797">
      <w:r>
        <w:t>22. Необходимая ширина просек, прокладываемых в соответствии с пунктом 21 настоящих Правил, расстояния, в пределах которых осуществляется вырубка отдельно стоящих (групп) деревьев (лесных насаждений), а также минимально допустимые расстояния до крон деревьев определяются в соответствии с требованиями законодательных и иных нормативных правовых актов Российской Федерации, в том числе настоящих Правил.</w:t>
      </w:r>
    </w:p>
    <w:p w:rsidR="00E63797" w:rsidRDefault="00E63797">
      <w:bookmarkStart w:id="49" w:name="sub_1023"/>
      <w:r>
        <w:t>23. Сетевые организации при содержании просек обязаны обеспечивать:</w:t>
      </w:r>
    </w:p>
    <w:p w:rsidR="00E63797" w:rsidRDefault="00E63797">
      <w:bookmarkStart w:id="50" w:name="sub_10231"/>
      <w:bookmarkEnd w:id="49"/>
      <w:r>
        <w:t xml:space="preserve">а) содержание просеки в пожаробезопасном состоянии в соответствии с требованиями </w:t>
      </w:r>
      <w:hyperlink r:id="rId13" w:history="1">
        <w:r>
          <w:rPr>
            <w:rStyle w:val="a4"/>
            <w:rFonts w:cs="Times New Roman CYR"/>
          </w:rPr>
          <w:t>правил</w:t>
        </w:r>
      </w:hyperlink>
      <w:r>
        <w:t xml:space="preserve"> пожарной безопасности в лесах;</w:t>
      </w:r>
    </w:p>
    <w:p w:rsidR="00E63797" w:rsidRDefault="00E63797">
      <w:bookmarkStart w:id="51" w:name="sub_10232"/>
      <w:bookmarkEnd w:id="50"/>
      <w:r>
        <w:t>б) поддержание ширины просек в размерах, предусмотренных проектами строительства объектов электросетевого хозяйства и требованиями, определяемыми в порядке, установленном законодательством Российской Федерации, путем вырубки, обрезки крон деревьев (кустарников) и иными способами;</w:t>
      </w:r>
    </w:p>
    <w:p w:rsidR="00E63797" w:rsidRDefault="00E63797">
      <w:bookmarkStart w:id="52" w:name="sub_10233"/>
      <w:bookmarkEnd w:id="51"/>
      <w:r>
        <w:t>в) вырубку или обрезку крон деревьев (лесных насаждений), произрастающих на просеках, высота которых превышает 4 метра.</w:t>
      </w:r>
    </w:p>
    <w:p w:rsidR="00E63797" w:rsidRDefault="00E63797">
      <w:bookmarkStart w:id="53" w:name="sub_1024"/>
      <w:bookmarkEnd w:id="52"/>
      <w:r>
        <w:t xml:space="preserve">24. Рубка деревьев в случаях, предусмотренных </w:t>
      </w:r>
      <w:hyperlink w:anchor="sub_1021" w:history="1">
        <w:r>
          <w:rPr>
            <w:rStyle w:val="a4"/>
            <w:rFonts w:cs="Times New Roman CYR"/>
          </w:rPr>
          <w:t>пунктами 21</w:t>
        </w:r>
      </w:hyperlink>
      <w:r>
        <w:t xml:space="preserve"> и </w:t>
      </w:r>
      <w:hyperlink w:anchor="sub_1023" w:history="1">
        <w:r>
          <w:rPr>
            <w:rStyle w:val="a4"/>
            <w:rFonts w:cs="Times New Roman CYR"/>
          </w:rPr>
          <w:t>23</w:t>
        </w:r>
      </w:hyperlink>
      <w:r>
        <w:t xml:space="preserve"> настоящих Правил, осуществляется по мере необходимости без предварительного предоставления лесных участков.</w:t>
      </w:r>
    </w:p>
    <w:bookmarkEnd w:id="53"/>
    <w:p w:rsidR="00E63797" w:rsidRDefault="00E63797">
      <w:r>
        <w:t xml:space="preserve">Рубка деревьев (кустарников и иных насаждений), не отнесенных к лесам, в случаях, предусмотренных </w:t>
      </w:r>
      <w:hyperlink w:anchor="sub_1021" w:history="1">
        <w:r>
          <w:rPr>
            <w:rStyle w:val="a4"/>
            <w:rFonts w:cs="Times New Roman CYR"/>
          </w:rPr>
          <w:t>пунктами 21</w:t>
        </w:r>
      </w:hyperlink>
      <w:r>
        <w:t xml:space="preserve"> и </w:t>
      </w:r>
      <w:hyperlink w:anchor="sub_1023" w:history="1">
        <w:r>
          <w:rPr>
            <w:rStyle w:val="a4"/>
            <w:rFonts w:cs="Times New Roman CYR"/>
          </w:rPr>
          <w:t>23</w:t>
        </w:r>
      </w:hyperlink>
      <w:r>
        <w:t xml:space="preserve"> настоящих Правил, осуществляется в соответствии с </w:t>
      </w:r>
      <w:hyperlink r:id="rId14" w:history="1">
        <w:r>
          <w:rPr>
            <w:rStyle w:val="a4"/>
            <w:rFonts w:cs="Times New Roman CYR"/>
          </w:rPr>
          <w:t>гражданским</w:t>
        </w:r>
      </w:hyperlink>
      <w:r>
        <w:t xml:space="preserve"> и </w:t>
      </w:r>
      <w:hyperlink r:id="rId15" w:history="1">
        <w:r>
          <w:rPr>
            <w:rStyle w:val="a4"/>
            <w:rFonts w:cs="Times New Roman CYR"/>
          </w:rPr>
          <w:t>земельным законодательством</w:t>
        </w:r>
      </w:hyperlink>
      <w:r>
        <w:t>.</w:t>
      </w:r>
    </w:p>
    <w:p w:rsidR="00E63797" w:rsidRDefault="00E63797">
      <w:r>
        <w:t xml:space="preserve">Сетевые организации или организации, действующие на основании соответствующих договоров с сетевыми организациями, представляют в уполномоченные органы государственной власти отчеты об использовании лесов в соответствии со </w:t>
      </w:r>
      <w:hyperlink r:id="rId16" w:history="1">
        <w:r>
          <w:rPr>
            <w:rStyle w:val="a4"/>
            <w:rFonts w:cs="Times New Roman CYR"/>
          </w:rPr>
          <w:t>статьей 49</w:t>
        </w:r>
      </w:hyperlink>
      <w:r>
        <w:t xml:space="preserve"> Лесного кодекса Российской Федерации.</w:t>
      </w:r>
    </w:p>
    <w:p w:rsidR="00E63797" w:rsidRDefault="00E63797"/>
    <w:p w:rsidR="00E63797" w:rsidRDefault="00E63797">
      <w:pPr>
        <w:ind w:firstLine="698"/>
        <w:jc w:val="right"/>
      </w:pPr>
      <w:bookmarkStart w:id="54" w:name="sub_11000"/>
      <w:r>
        <w:rPr>
          <w:rStyle w:val="a3"/>
          <w:bCs/>
        </w:rPr>
        <w:lastRenderedPageBreak/>
        <w:t>Приложение</w:t>
      </w:r>
      <w:r>
        <w:rPr>
          <w:rStyle w:val="a3"/>
          <w:bCs/>
        </w:rPr>
        <w:br/>
        <w:t xml:space="preserve">к </w:t>
      </w:r>
      <w:hyperlink w:anchor="sub_1000" w:history="1">
        <w:r>
          <w:rPr>
            <w:rStyle w:val="a4"/>
            <w:rFonts w:cs="Times New Roman CYR"/>
          </w:rPr>
          <w:t>Правилам</w:t>
        </w:r>
      </w:hyperlink>
      <w:r>
        <w:rPr>
          <w:rStyle w:val="a3"/>
          <w:bCs/>
        </w:rPr>
        <w:t xml:space="preserve"> установления охранных</w:t>
      </w:r>
      <w:r>
        <w:rPr>
          <w:rStyle w:val="a3"/>
          <w:bCs/>
        </w:rPr>
        <w:br/>
        <w:t>зон объектов электросетевого</w:t>
      </w:r>
      <w:r>
        <w:rPr>
          <w:rStyle w:val="a3"/>
          <w:bCs/>
        </w:rPr>
        <w:br/>
        <w:t>хозяйства и особых условий</w:t>
      </w:r>
      <w:r>
        <w:rPr>
          <w:rStyle w:val="a3"/>
          <w:bCs/>
        </w:rPr>
        <w:br/>
        <w:t>использования земельных участков,</w:t>
      </w:r>
      <w:r>
        <w:rPr>
          <w:rStyle w:val="a3"/>
          <w:bCs/>
        </w:rPr>
        <w:br/>
        <w:t>расположенных в границах таких зон</w:t>
      </w:r>
    </w:p>
    <w:bookmarkEnd w:id="54"/>
    <w:p w:rsidR="00E63797" w:rsidRDefault="00E63797"/>
    <w:p w:rsidR="00E63797" w:rsidRDefault="00E63797">
      <w:pPr>
        <w:pStyle w:val="1"/>
      </w:pPr>
      <w:r>
        <w:t>Требования</w:t>
      </w:r>
      <w:r>
        <w:br/>
        <w:t>к границам установления охранных зон объектов электросетевого хозяйства</w:t>
      </w:r>
    </w:p>
    <w:p w:rsidR="00E63797" w:rsidRDefault="00E63797">
      <w:pPr>
        <w:pStyle w:val="ab"/>
      </w:pPr>
      <w:r>
        <w:t>С изменениями и дополнениями от:</w:t>
      </w:r>
    </w:p>
    <w:p w:rsidR="00E63797" w:rsidRDefault="00E63797">
      <w:pPr>
        <w:pStyle w:val="a9"/>
        <w:rPr>
          <w:shd w:val="clear" w:color="auto" w:fill="EAEFED"/>
        </w:rPr>
      </w:pPr>
      <w:r>
        <w:t xml:space="preserve"> </w:t>
      </w:r>
      <w:r>
        <w:rPr>
          <w:shd w:val="clear" w:color="auto" w:fill="EAEFED"/>
        </w:rPr>
        <w:t>26 августа 2013 г.</w:t>
      </w:r>
    </w:p>
    <w:p w:rsidR="00E63797" w:rsidRDefault="00E63797"/>
    <w:p w:rsidR="00E63797" w:rsidRDefault="00E63797">
      <w:r>
        <w:t>Охранные зоны устанавливаются:</w:t>
      </w:r>
    </w:p>
    <w:p w:rsidR="00E63797" w:rsidRDefault="00E63797">
      <w:bookmarkStart w:id="55" w:name="sub_11001"/>
      <w: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bookmarkEnd w:id="55"/>
    <w:p w:rsidR="00E63797" w:rsidRDefault="00E6379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02"/>
        <w:gridCol w:w="5836"/>
      </w:tblGrid>
      <w:tr w:rsidR="00E63797">
        <w:tblPrEx>
          <w:tblCellMar>
            <w:top w:w="0" w:type="dxa"/>
            <w:bottom w:w="0" w:type="dxa"/>
          </w:tblCellMar>
        </w:tblPrEx>
        <w:tc>
          <w:tcPr>
            <w:tcW w:w="4402" w:type="dxa"/>
            <w:tcBorders>
              <w:top w:val="single" w:sz="4" w:space="0" w:color="auto"/>
              <w:bottom w:val="single" w:sz="4" w:space="0" w:color="auto"/>
              <w:right w:val="single" w:sz="4" w:space="0" w:color="auto"/>
            </w:tcBorders>
          </w:tcPr>
          <w:p w:rsidR="00E63797" w:rsidRDefault="00E63797">
            <w:pPr>
              <w:pStyle w:val="aa"/>
              <w:jc w:val="center"/>
            </w:pPr>
            <w:r>
              <w:t>Проектный номинальный класс напряжения, кВ</w:t>
            </w:r>
          </w:p>
        </w:tc>
        <w:tc>
          <w:tcPr>
            <w:tcW w:w="5836" w:type="dxa"/>
            <w:tcBorders>
              <w:top w:val="single" w:sz="4" w:space="0" w:color="auto"/>
              <w:left w:val="single" w:sz="4" w:space="0" w:color="auto"/>
              <w:bottom w:val="single" w:sz="4" w:space="0" w:color="auto"/>
            </w:tcBorders>
          </w:tcPr>
          <w:p w:rsidR="00E63797" w:rsidRDefault="00E63797">
            <w:pPr>
              <w:pStyle w:val="aa"/>
              <w:jc w:val="center"/>
            </w:pPr>
            <w:r>
              <w:t>Расстояние, м</w:t>
            </w:r>
          </w:p>
        </w:tc>
      </w:tr>
      <w:tr w:rsidR="00E63797">
        <w:tblPrEx>
          <w:tblCellMar>
            <w:top w:w="0" w:type="dxa"/>
            <w:bottom w:w="0" w:type="dxa"/>
          </w:tblCellMar>
        </w:tblPrEx>
        <w:tc>
          <w:tcPr>
            <w:tcW w:w="4402" w:type="dxa"/>
            <w:tcBorders>
              <w:top w:val="single" w:sz="4" w:space="0" w:color="auto"/>
              <w:bottom w:val="single" w:sz="4" w:space="0" w:color="auto"/>
              <w:right w:val="single" w:sz="4" w:space="0" w:color="auto"/>
            </w:tcBorders>
          </w:tcPr>
          <w:p w:rsidR="00E63797" w:rsidRDefault="00E63797">
            <w:pPr>
              <w:pStyle w:val="aa"/>
              <w:jc w:val="center"/>
            </w:pPr>
            <w:r>
              <w:t>до 1</w:t>
            </w:r>
          </w:p>
        </w:tc>
        <w:tc>
          <w:tcPr>
            <w:tcW w:w="5836" w:type="dxa"/>
            <w:tcBorders>
              <w:top w:val="single" w:sz="4" w:space="0" w:color="auto"/>
              <w:left w:val="single" w:sz="4" w:space="0" w:color="auto"/>
              <w:bottom w:val="single" w:sz="4" w:space="0" w:color="auto"/>
            </w:tcBorders>
          </w:tcPr>
          <w:p w:rsidR="00E63797" w:rsidRDefault="00E63797">
            <w:pPr>
              <w:pStyle w:val="aa"/>
              <w:jc w:val="center"/>
            </w:pPr>
            <w: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E63797">
        <w:tblPrEx>
          <w:tblCellMar>
            <w:top w:w="0" w:type="dxa"/>
            <w:bottom w:w="0" w:type="dxa"/>
          </w:tblCellMar>
        </w:tblPrEx>
        <w:tc>
          <w:tcPr>
            <w:tcW w:w="4402" w:type="dxa"/>
            <w:tcBorders>
              <w:top w:val="single" w:sz="4" w:space="0" w:color="auto"/>
              <w:bottom w:val="single" w:sz="4" w:space="0" w:color="auto"/>
              <w:right w:val="single" w:sz="4" w:space="0" w:color="auto"/>
            </w:tcBorders>
          </w:tcPr>
          <w:p w:rsidR="00E63797" w:rsidRDefault="00E63797">
            <w:pPr>
              <w:pStyle w:val="aa"/>
              <w:jc w:val="center"/>
            </w:pPr>
            <w:r>
              <w:t>1 - 20</w:t>
            </w:r>
          </w:p>
        </w:tc>
        <w:tc>
          <w:tcPr>
            <w:tcW w:w="5836" w:type="dxa"/>
            <w:tcBorders>
              <w:top w:val="single" w:sz="4" w:space="0" w:color="auto"/>
              <w:left w:val="single" w:sz="4" w:space="0" w:color="auto"/>
              <w:bottom w:val="single" w:sz="4" w:space="0" w:color="auto"/>
            </w:tcBorders>
          </w:tcPr>
          <w:p w:rsidR="00E63797" w:rsidRDefault="00E63797">
            <w:pPr>
              <w:pStyle w:val="aa"/>
              <w:jc w:val="center"/>
            </w:pPr>
            <w:r>
              <w:t>10 (5 - для линий с самонесущими или изолированными проводами, размещенных в границах населенных пунктов)</w:t>
            </w:r>
          </w:p>
        </w:tc>
      </w:tr>
      <w:tr w:rsidR="00E63797">
        <w:tblPrEx>
          <w:tblCellMar>
            <w:top w:w="0" w:type="dxa"/>
            <w:bottom w:w="0" w:type="dxa"/>
          </w:tblCellMar>
        </w:tblPrEx>
        <w:tc>
          <w:tcPr>
            <w:tcW w:w="4402" w:type="dxa"/>
            <w:tcBorders>
              <w:top w:val="single" w:sz="4" w:space="0" w:color="auto"/>
              <w:bottom w:val="single" w:sz="4" w:space="0" w:color="auto"/>
              <w:right w:val="single" w:sz="4" w:space="0" w:color="auto"/>
            </w:tcBorders>
          </w:tcPr>
          <w:p w:rsidR="00E63797" w:rsidRDefault="00E63797">
            <w:pPr>
              <w:pStyle w:val="aa"/>
              <w:jc w:val="center"/>
            </w:pPr>
            <w:r>
              <w:t>35</w:t>
            </w:r>
          </w:p>
        </w:tc>
        <w:tc>
          <w:tcPr>
            <w:tcW w:w="5836" w:type="dxa"/>
            <w:tcBorders>
              <w:top w:val="single" w:sz="4" w:space="0" w:color="auto"/>
              <w:left w:val="single" w:sz="4" w:space="0" w:color="auto"/>
              <w:bottom w:val="single" w:sz="4" w:space="0" w:color="auto"/>
            </w:tcBorders>
          </w:tcPr>
          <w:p w:rsidR="00E63797" w:rsidRDefault="00E63797">
            <w:pPr>
              <w:pStyle w:val="aa"/>
              <w:jc w:val="center"/>
            </w:pPr>
            <w:r>
              <w:t>15</w:t>
            </w:r>
          </w:p>
        </w:tc>
      </w:tr>
      <w:tr w:rsidR="00E63797">
        <w:tblPrEx>
          <w:tblCellMar>
            <w:top w:w="0" w:type="dxa"/>
            <w:bottom w:w="0" w:type="dxa"/>
          </w:tblCellMar>
        </w:tblPrEx>
        <w:tc>
          <w:tcPr>
            <w:tcW w:w="4402" w:type="dxa"/>
            <w:tcBorders>
              <w:top w:val="single" w:sz="4" w:space="0" w:color="auto"/>
              <w:bottom w:val="single" w:sz="4" w:space="0" w:color="auto"/>
              <w:right w:val="single" w:sz="4" w:space="0" w:color="auto"/>
            </w:tcBorders>
          </w:tcPr>
          <w:p w:rsidR="00E63797" w:rsidRDefault="00E63797">
            <w:pPr>
              <w:pStyle w:val="aa"/>
              <w:jc w:val="center"/>
            </w:pPr>
            <w:r>
              <w:t>110</w:t>
            </w:r>
          </w:p>
        </w:tc>
        <w:tc>
          <w:tcPr>
            <w:tcW w:w="5836" w:type="dxa"/>
            <w:tcBorders>
              <w:top w:val="single" w:sz="4" w:space="0" w:color="auto"/>
              <w:left w:val="single" w:sz="4" w:space="0" w:color="auto"/>
              <w:bottom w:val="single" w:sz="4" w:space="0" w:color="auto"/>
            </w:tcBorders>
          </w:tcPr>
          <w:p w:rsidR="00E63797" w:rsidRDefault="00E63797">
            <w:pPr>
              <w:pStyle w:val="aa"/>
              <w:jc w:val="center"/>
            </w:pPr>
            <w:r>
              <w:t>20</w:t>
            </w:r>
          </w:p>
        </w:tc>
      </w:tr>
      <w:tr w:rsidR="00E63797">
        <w:tblPrEx>
          <w:tblCellMar>
            <w:top w:w="0" w:type="dxa"/>
            <w:bottom w:w="0" w:type="dxa"/>
          </w:tblCellMar>
        </w:tblPrEx>
        <w:tc>
          <w:tcPr>
            <w:tcW w:w="4402" w:type="dxa"/>
            <w:tcBorders>
              <w:top w:val="single" w:sz="4" w:space="0" w:color="auto"/>
              <w:bottom w:val="single" w:sz="4" w:space="0" w:color="auto"/>
              <w:right w:val="single" w:sz="4" w:space="0" w:color="auto"/>
            </w:tcBorders>
          </w:tcPr>
          <w:p w:rsidR="00E63797" w:rsidRDefault="00E63797">
            <w:pPr>
              <w:pStyle w:val="aa"/>
              <w:jc w:val="center"/>
            </w:pPr>
            <w:r>
              <w:t>150, 220</w:t>
            </w:r>
          </w:p>
        </w:tc>
        <w:tc>
          <w:tcPr>
            <w:tcW w:w="5836" w:type="dxa"/>
            <w:tcBorders>
              <w:top w:val="single" w:sz="4" w:space="0" w:color="auto"/>
              <w:left w:val="single" w:sz="4" w:space="0" w:color="auto"/>
              <w:bottom w:val="single" w:sz="4" w:space="0" w:color="auto"/>
            </w:tcBorders>
          </w:tcPr>
          <w:p w:rsidR="00E63797" w:rsidRDefault="00E63797">
            <w:pPr>
              <w:pStyle w:val="aa"/>
              <w:jc w:val="center"/>
            </w:pPr>
            <w:r>
              <w:t>25</w:t>
            </w:r>
          </w:p>
        </w:tc>
      </w:tr>
      <w:tr w:rsidR="00E63797">
        <w:tblPrEx>
          <w:tblCellMar>
            <w:top w:w="0" w:type="dxa"/>
            <w:bottom w:w="0" w:type="dxa"/>
          </w:tblCellMar>
        </w:tblPrEx>
        <w:tc>
          <w:tcPr>
            <w:tcW w:w="4402" w:type="dxa"/>
            <w:tcBorders>
              <w:top w:val="single" w:sz="4" w:space="0" w:color="auto"/>
              <w:bottom w:val="single" w:sz="4" w:space="0" w:color="auto"/>
              <w:right w:val="single" w:sz="4" w:space="0" w:color="auto"/>
            </w:tcBorders>
          </w:tcPr>
          <w:p w:rsidR="00E63797" w:rsidRDefault="00E63797">
            <w:pPr>
              <w:pStyle w:val="aa"/>
              <w:jc w:val="center"/>
            </w:pPr>
            <w:r>
              <w:t>300, 500, +/-400</w:t>
            </w:r>
          </w:p>
        </w:tc>
        <w:tc>
          <w:tcPr>
            <w:tcW w:w="5836" w:type="dxa"/>
            <w:tcBorders>
              <w:top w:val="single" w:sz="4" w:space="0" w:color="auto"/>
              <w:left w:val="single" w:sz="4" w:space="0" w:color="auto"/>
              <w:bottom w:val="single" w:sz="4" w:space="0" w:color="auto"/>
            </w:tcBorders>
          </w:tcPr>
          <w:p w:rsidR="00E63797" w:rsidRDefault="00E63797">
            <w:pPr>
              <w:pStyle w:val="aa"/>
              <w:jc w:val="center"/>
            </w:pPr>
            <w:r>
              <w:t>30</w:t>
            </w:r>
          </w:p>
        </w:tc>
      </w:tr>
      <w:tr w:rsidR="00E63797">
        <w:tblPrEx>
          <w:tblCellMar>
            <w:top w:w="0" w:type="dxa"/>
            <w:bottom w:w="0" w:type="dxa"/>
          </w:tblCellMar>
        </w:tblPrEx>
        <w:tc>
          <w:tcPr>
            <w:tcW w:w="4402" w:type="dxa"/>
            <w:tcBorders>
              <w:top w:val="single" w:sz="4" w:space="0" w:color="auto"/>
              <w:bottom w:val="single" w:sz="4" w:space="0" w:color="auto"/>
              <w:right w:val="single" w:sz="4" w:space="0" w:color="auto"/>
            </w:tcBorders>
          </w:tcPr>
          <w:p w:rsidR="00E63797" w:rsidRDefault="00E63797">
            <w:pPr>
              <w:pStyle w:val="aa"/>
              <w:jc w:val="center"/>
            </w:pPr>
            <w:r>
              <w:t>750,+/-750</w:t>
            </w:r>
          </w:p>
        </w:tc>
        <w:tc>
          <w:tcPr>
            <w:tcW w:w="5836" w:type="dxa"/>
            <w:tcBorders>
              <w:top w:val="single" w:sz="4" w:space="0" w:color="auto"/>
              <w:left w:val="single" w:sz="4" w:space="0" w:color="auto"/>
              <w:bottom w:val="single" w:sz="4" w:space="0" w:color="auto"/>
            </w:tcBorders>
          </w:tcPr>
          <w:p w:rsidR="00E63797" w:rsidRDefault="00E63797">
            <w:pPr>
              <w:pStyle w:val="aa"/>
              <w:jc w:val="center"/>
            </w:pPr>
            <w:r>
              <w:t>40</w:t>
            </w:r>
          </w:p>
        </w:tc>
      </w:tr>
      <w:tr w:rsidR="00E63797">
        <w:tblPrEx>
          <w:tblCellMar>
            <w:top w:w="0" w:type="dxa"/>
            <w:bottom w:w="0" w:type="dxa"/>
          </w:tblCellMar>
        </w:tblPrEx>
        <w:tc>
          <w:tcPr>
            <w:tcW w:w="4402" w:type="dxa"/>
            <w:tcBorders>
              <w:top w:val="single" w:sz="4" w:space="0" w:color="auto"/>
              <w:bottom w:val="single" w:sz="4" w:space="0" w:color="auto"/>
              <w:right w:val="single" w:sz="4" w:space="0" w:color="auto"/>
            </w:tcBorders>
          </w:tcPr>
          <w:p w:rsidR="00E63797" w:rsidRDefault="00E63797">
            <w:pPr>
              <w:pStyle w:val="aa"/>
              <w:jc w:val="center"/>
            </w:pPr>
            <w:r>
              <w:t>1150</w:t>
            </w:r>
          </w:p>
        </w:tc>
        <w:tc>
          <w:tcPr>
            <w:tcW w:w="5836" w:type="dxa"/>
            <w:tcBorders>
              <w:top w:val="single" w:sz="4" w:space="0" w:color="auto"/>
              <w:left w:val="single" w:sz="4" w:space="0" w:color="auto"/>
              <w:bottom w:val="single" w:sz="4" w:space="0" w:color="auto"/>
            </w:tcBorders>
          </w:tcPr>
          <w:p w:rsidR="00E63797" w:rsidRDefault="00E63797">
            <w:pPr>
              <w:pStyle w:val="aa"/>
              <w:jc w:val="center"/>
            </w:pPr>
            <w:r>
              <w:t>55;</w:t>
            </w:r>
          </w:p>
        </w:tc>
      </w:tr>
    </w:tbl>
    <w:p w:rsidR="00E63797" w:rsidRDefault="00E63797"/>
    <w:p w:rsidR="00E63797" w:rsidRDefault="00E63797">
      <w:bookmarkStart w:id="56" w:name="sub_11002"/>
      <w: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E63797" w:rsidRDefault="00E63797">
      <w:bookmarkStart w:id="57" w:name="sub_11003"/>
      <w:bookmarkEnd w:id="56"/>
      <w: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E63797" w:rsidRDefault="00E63797">
      <w:bookmarkStart w:id="58" w:name="sub_11004"/>
      <w:bookmarkEnd w:id="57"/>
      <w: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w:t>
      </w:r>
      <w:r>
        <w:lastRenderedPageBreak/>
        <w:t>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bookmarkEnd w:id="58"/>
    <w:p w:rsidR="00E63797" w:rsidRDefault="00E63797">
      <w:r>
        <w:t xml:space="preserve">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w:anchor="sub_11001" w:history="1">
        <w:r>
          <w:rPr>
            <w:rStyle w:val="a4"/>
            <w:rFonts w:cs="Times New Roman CYR"/>
          </w:rPr>
          <w:t>подпункте "а"</w:t>
        </w:r>
      </w:hyperlink>
      <w:r>
        <w:t xml:space="preserve"> настоящего документа, применительно к высшему классу напряжения подстанции.</w:t>
      </w:r>
    </w:p>
    <w:p w:rsidR="00E63797" w:rsidRDefault="00E63797">
      <w:bookmarkStart w:id="59" w:name="sub_11111"/>
      <w:r>
        <w:rPr>
          <w:rStyle w:val="a3"/>
          <w:bCs/>
        </w:rPr>
        <w:t>Примечание.</w:t>
      </w:r>
      <w:r>
        <w:t xml:space="preserve"> Требования, предусмотренные </w:t>
      </w:r>
      <w:hyperlink w:anchor="sub_11001" w:history="1">
        <w:r>
          <w:rPr>
            <w:rStyle w:val="a4"/>
            <w:rFonts w:cs="Times New Roman CYR"/>
          </w:rPr>
          <w:t>подпунктом "а"</w:t>
        </w:r>
      </w:hyperlink>
      <w:r>
        <w:t xml:space="preserve"> настоящего документа, применяются при определении размера просек.</w:t>
      </w:r>
    </w:p>
    <w:bookmarkEnd w:id="59"/>
    <w:p w:rsidR="00E63797" w:rsidRDefault="00E63797"/>
    <w:sectPr w:rsidR="00E63797">
      <w:headerReference w:type="default" r:id="rId17"/>
      <w:footerReference w:type="default" r:id="rId1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797" w:rsidRDefault="00E63797">
      <w:r>
        <w:separator/>
      </w:r>
    </w:p>
  </w:endnote>
  <w:endnote w:type="continuationSeparator" w:id="0">
    <w:p w:rsidR="00E63797" w:rsidRDefault="00E6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E63797">
      <w:tblPrEx>
        <w:tblCellMar>
          <w:top w:w="0" w:type="dxa"/>
          <w:left w:w="0" w:type="dxa"/>
          <w:bottom w:w="0" w:type="dxa"/>
          <w:right w:w="0" w:type="dxa"/>
        </w:tblCellMar>
      </w:tblPrEx>
      <w:tc>
        <w:tcPr>
          <w:tcW w:w="3433" w:type="dxa"/>
          <w:tcBorders>
            <w:top w:val="nil"/>
            <w:left w:val="nil"/>
            <w:bottom w:val="nil"/>
            <w:right w:val="nil"/>
          </w:tcBorders>
        </w:tcPr>
        <w:p w:rsidR="00E63797" w:rsidRDefault="00E63797">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E63797" w:rsidRDefault="00E63797">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E63797" w:rsidRDefault="00E63797">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797" w:rsidRDefault="00E63797">
      <w:r>
        <w:separator/>
      </w:r>
    </w:p>
  </w:footnote>
  <w:footnote w:type="continuationSeparator" w:id="0">
    <w:p w:rsidR="00E63797" w:rsidRDefault="00E63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97" w:rsidRDefault="00E63797" w:rsidP="00E63797">
    <w:pPr>
      <w:pStyle w:val="ae"/>
      <w:rPr>
        <w:szCs w:val="20"/>
      </w:rPr>
    </w:pPr>
  </w:p>
  <w:p w:rsidR="00E63797" w:rsidRDefault="00E63797" w:rsidP="00E63797">
    <w:pPr>
      <w:pStyle w:val="ae"/>
      <w:rPr>
        <w:szCs w:val="20"/>
      </w:rPr>
    </w:pPr>
  </w:p>
  <w:p w:rsidR="00E63797" w:rsidRPr="00E63797" w:rsidRDefault="00E63797" w:rsidP="00E63797">
    <w:pPr>
      <w:pStyle w:val="ae"/>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97"/>
    <w:rsid w:val="00E63797"/>
    <w:rsid w:val="00EF1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32ECA6-FC12-4380-A11E-A0C9694F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628432/5" TargetMode="External"/><Relationship Id="rId13" Type="http://schemas.openxmlformats.org/officeDocument/2006/relationships/hyperlink" Target="http://internet.garant.ru/document/redirect/74739511/100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ternet.garant.ru/document/redirect/72602836/1000" TargetMode="External"/><Relationship Id="rId12" Type="http://schemas.openxmlformats.org/officeDocument/2006/relationships/hyperlink" Target="http://internet.garant.ru/document/redirect/12124624/8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nternet.garant.ru/document/redirect/12150845/4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0164072/3" TargetMode="External"/><Relationship Id="rId5" Type="http://schemas.openxmlformats.org/officeDocument/2006/relationships/footnotes" Target="footnotes.xml"/><Relationship Id="rId15" Type="http://schemas.openxmlformats.org/officeDocument/2006/relationships/hyperlink" Target="http://internet.garant.ru/document/redirect/12124624/2" TargetMode="External"/><Relationship Id="rId10" Type="http://schemas.openxmlformats.org/officeDocument/2006/relationships/hyperlink" Target="http://internet.garant.ru/document/redirect/12125267/9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12138258/3" TargetMode="External"/><Relationship Id="rId14" Type="http://schemas.openxmlformats.org/officeDocument/2006/relationships/hyperlink" Target="http://internet.garant.ru/document/redirect/101640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2998</Words>
  <Characters>23055</Characters>
  <Application>Microsoft Office Word</Application>
  <DocSecurity>0</DocSecurity>
  <Lines>192</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Маегов Евгений Владимирович</cp:lastModifiedBy>
  <cp:revision>2</cp:revision>
  <dcterms:created xsi:type="dcterms:W3CDTF">2022-02-21T09:37:00Z</dcterms:created>
  <dcterms:modified xsi:type="dcterms:W3CDTF">2022-02-21T09:37:00Z</dcterms:modified>
</cp:coreProperties>
</file>